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9D494">
      <w:pPr>
        <w:keepNext w:val="0"/>
        <w:keepLines w:val="0"/>
        <w:widowControl w:val="0"/>
        <w:suppressLineNumbers w:val="0"/>
        <w:autoSpaceDE w:val="0"/>
        <w:autoSpaceDN/>
        <w:spacing w:before="0" w:beforeAutospacing="0" w:after="0" w:afterAutospacing="0" w:line="560" w:lineRule="exact"/>
        <w:ind w:left="0" w:right="0"/>
        <w:jc w:val="both"/>
        <w:outlineLvl w:val="0"/>
        <w:rPr>
          <w:rFonts w:hint="default" w:ascii="黑体" w:hAnsi="宋体" w:eastAsia="黑体" w:cs="黑体"/>
          <w:spacing w:val="-4"/>
          <w:kern w:val="2"/>
          <w:sz w:val="28"/>
          <w:szCs w:val="28"/>
          <w:woUserID w:val="1"/>
        </w:rPr>
      </w:pPr>
      <w:r>
        <w:rPr>
          <w:rFonts w:hint="default" w:ascii="黑体" w:hAnsi="宋体" w:eastAsia="黑体" w:cs="黑体"/>
          <w:spacing w:val="-4"/>
          <w:kern w:val="2"/>
          <w:sz w:val="28"/>
          <w:szCs w:val="28"/>
          <w:lang w:val="en-US" w:eastAsia="zh-CN" w:bidi="ar"/>
          <w:woUserID w:val="1"/>
        </w:rPr>
        <w:t>附件3</w:t>
      </w:r>
    </w:p>
    <w:p w14:paraId="5629C932">
      <w:pPr>
        <w:keepNext w:val="0"/>
        <w:keepLines w:val="0"/>
        <w:widowControl w:val="0"/>
        <w:suppressLineNumbers w:val="0"/>
        <w:autoSpaceDE w:val="0"/>
        <w:autoSpaceDN/>
        <w:spacing w:before="157" w:beforeLines="50" w:beforeAutospacing="0" w:after="157" w:afterLines="5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学生思政、高教管理系列高级专业技术职务基础业绩要求</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37"/>
        <w:gridCol w:w="1183"/>
        <w:gridCol w:w="2416"/>
        <w:gridCol w:w="3183"/>
      </w:tblGrid>
      <w:tr w14:paraId="3730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2" w:hRule="atLeast"/>
          <w:jc w:val="center"/>
        </w:trPr>
        <w:tc>
          <w:tcPr>
            <w:tcW w:w="1019" w:type="pct"/>
            <w:tcBorders>
              <w:top w:val="single" w:color="auto" w:sz="4" w:space="0"/>
              <w:left w:val="single" w:color="auto" w:sz="4" w:space="0"/>
              <w:bottom w:val="single" w:color="auto" w:sz="4" w:space="0"/>
              <w:right w:val="single" w:color="auto" w:sz="4" w:space="0"/>
            </w:tcBorders>
            <w:shd w:val="clear" w:color="auto" w:fill="auto"/>
            <w:vAlign w:val="center"/>
          </w:tcPr>
          <w:p w14:paraId="314F246B">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480" w:lineRule="exact"/>
              <w:ind w:left="0" w:leftChars="0" w:right="0" w:rightChars="0"/>
              <w:jc w:val="center"/>
              <w:textAlignment w:val="auto"/>
              <w:rPr>
                <w:rFonts w:hint="default" w:ascii="微软雅黑" w:hAnsi="微软雅黑" w:eastAsia="微软雅黑" w:cs="微软雅黑"/>
                <w:b/>
                <w:bCs/>
                <w:kern w:val="0"/>
                <w:sz w:val="21"/>
                <w:szCs w:val="21"/>
                <w:woUserID w:val="1"/>
              </w:rPr>
            </w:pPr>
            <w:r>
              <w:rPr>
                <w:rFonts w:hint="default" w:ascii="黑体" w:hAnsi="宋体" w:eastAsia="黑体" w:cs="黑体"/>
                <w:b/>
                <w:bCs/>
                <w:kern w:val="0"/>
                <w:sz w:val="21"/>
                <w:szCs w:val="21"/>
                <w:lang w:val="en-US" w:eastAsia="zh-CN" w:bidi="ar"/>
                <w:woUserID w:val="1"/>
              </w:rPr>
              <w:t>类型</w:t>
            </w:r>
          </w:p>
        </w:tc>
        <w:tc>
          <w:tcPr>
            <w:tcW w:w="694" w:type="pct"/>
            <w:tcBorders>
              <w:top w:val="single" w:color="auto" w:sz="4" w:space="0"/>
              <w:left w:val="nil"/>
              <w:bottom w:val="single" w:color="auto" w:sz="4" w:space="0"/>
              <w:right w:val="single" w:color="auto" w:sz="4" w:space="0"/>
            </w:tcBorders>
            <w:shd w:val="clear" w:color="auto" w:fill="auto"/>
            <w:vAlign w:val="center"/>
          </w:tcPr>
          <w:p w14:paraId="45E5E3E5">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88" w:lineRule="auto"/>
              <w:ind w:left="0" w:leftChars="0" w:right="0" w:rightChars="0"/>
              <w:jc w:val="center"/>
              <w:textAlignment w:val="auto"/>
              <w:rPr>
                <w:rFonts w:hint="default" w:ascii="微软雅黑" w:hAnsi="微软雅黑" w:eastAsia="微软雅黑" w:cs="微软雅黑"/>
                <w:b/>
                <w:bCs/>
                <w:kern w:val="0"/>
                <w:sz w:val="21"/>
                <w:szCs w:val="21"/>
                <w:woUserID w:val="1"/>
              </w:rPr>
            </w:pPr>
            <w:r>
              <w:rPr>
                <w:rFonts w:hint="default" w:ascii="黑体" w:hAnsi="宋体" w:eastAsia="黑体" w:cs="黑体"/>
                <w:b/>
                <w:bCs/>
                <w:kern w:val="0"/>
                <w:sz w:val="21"/>
                <w:szCs w:val="21"/>
                <w:lang w:val="en-US" w:eastAsia="zh-CN" w:bidi="ar"/>
                <w:woUserID w:val="1"/>
              </w:rPr>
              <w:t>专业技术职务</w:t>
            </w:r>
          </w:p>
        </w:tc>
        <w:tc>
          <w:tcPr>
            <w:tcW w:w="1417" w:type="pct"/>
            <w:tcBorders>
              <w:top w:val="single" w:color="auto" w:sz="4" w:space="0"/>
              <w:left w:val="nil"/>
              <w:bottom w:val="single" w:color="auto" w:sz="4" w:space="0"/>
              <w:right w:val="single" w:color="auto" w:sz="4" w:space="0"/>
            </w:tcBorders>
            <w:shd w:val="clear" w:color="auto" w:fill="auto"/>
            <w:vAlign w:val="center"/>
          </w:tcPr>
          <w:p w14:paraId="19031706">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88" w:lineRule="auto"/>
              <w:ind w:left="0" w:leftChars="0" w:right="0" w:rightChars="0"/>
              <w:jc w:val="center"/>
              <w:textAlignment w:val="auto"/>
              <w:rPr>
                <w:rFonts w:hint="default" w:ascii="微软雅黑" w:hAnsi="微软雅黑" w:eastAsia="微软雅黑" w:cs="微软雅黑"/>
                <w:b/>
                <w:bCs/>
                <w:kern w:val="0"/>
                <w:sz w:val="21"/>
                <w:szCs w:val="21"/>
                <w:woUserID w:val="1"/>
              </w:rPr>
            </w:pPr>
            <w:r>
              <w:rPr>
                <w:rFonts w:hint="default" w:ascii="黑体" w:hAnsi="宋体" w:eastAsia="黑体" w:cs="黑体"/>
                <w:b/>
                <w:bCs/>
                <w:kern w:val="0"/>
                <w:sz w:val="21"/>
                <w:szCs w:val="21"/>
                <w:lang w:val="en-US" w:eastAsia="zh-CN" w:bidi="ar"/>
                <w:woUserID w:val="1"/>
              </w:rPr>
              <w:t>主持教学科研项目（分）</w:t>
            </w:r>
          </w:p>
        </w:tc>
        <w:tc>
          <w:tcPr>
            <w:tcW w:w="1867" w:type="pct"/>
            <w:tcBorders>
              <w:top w:val="single" w:color="auto" w:sz="4" w:space="0"/>
              <w:left w:val="nil"/>
              <w:bottom w:val="single" w:color="auto" w:sz="4" w:space="0"/>
              <w:right w:val="single" w:color="auto" w:sz="4" w:space="0"/>
            </w:tcBorders>
            <w:shd w:val="clear" w:color="auto" w:fill="auto"/>
            <w:vAlign w:val="center"/>
          </w:tcPr>
          <w:p w14:paraId="32F9D5B9">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88" w:lineRule="auto"/>
              <w:ind w:left="0" w:leftChars="0" w:right="0" w:rightChars="0"/>
              <w:jc w:val="center"/>
              <w:textAlignment w:val="auto"/>
              <w:rPr>
                <w:rFonts w:hint="default" w:ascii="微软雅黑" w:hAnsi="微软雅黑" w:eastAsia="微软雅黑" w:cs="微软雅黑"/>
                <w:b/>
                <w:bCs/>
                <w:kern w:val="0"/>
                <w:sz w:val="21"/>
                <w:szCs w:val="21"/>
                <w:woUserID w:val="1"/>
              </w:rPr>
            </w:pPr>
            <w:r>
              <w:rPr>
                <w:rFonts w:hint="default" w:ascii="黑体" w:hAnsi="宋体" w:eastAsia="黑体" w:cs="黑体"/>
                <w:b/>
                <w:bCs/>
                <w:kern w:val="0"/>
                <w:sz w:val="21"/>
                <w:szCs w:val="21"/>
                <w:lang w:val="en-US" w:eastAsia="zh-CN" w:bidi="ar"/>
                <w:woUserID w:val="1"/>
              </w:rPr>
              <w:t>论文、专著、教材、奖项(专著、主编教材、指导学生获奖只能计1项)（分）</w:t>
            </w:r>
          </w:p>
        </w:tc>
      </w:tr>
      <w:tr w14:paraId="2D25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019" w:type="pct"/>
            <w:vMerge w:val="restart"/>
            <w:tcBorders>
              <w:top w:val="nil"/>
              <w:left w:val="single" w:color="auto" w:sz="4" w:space="0"/>
              <w:bottom w:val="single" w:color="auto" w:sz="4" w:space="0"/>
              <w:right w:val="single" w:color="auto" w:sz="4" w:space="0"/>
            </w:tcBorders>
            <w:shd w:val="clear" w:color="auto" w:fill="auto"/>
            <w:vAlign w:val="center"/>
          </w:tcPr>
          <w:p w14:paraId="5AABAEE9">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460" w:lineRule="exact"/>
              <w:ind w:left="0" w:right="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学生思想政治教育系列A、高等教育管理系列</w:t>
            </w:r>
          </w:p>
        </w:tc>
        <w:tc>
          <w:tcPr>
            <w:tcW w:w="694" w:type="pct"/>
            <w:tcBorders>
              <w:top w:val="single" w:color="auto" w:sz="4" w:space="0"/>
              <w:left w:val="nil"/>
              <w:bottom w:val="single" w:color="auto" w:sz="4" w:space="0"/>
              <w:right w:val="single" w:color="auto" w:sz="4" w:space="0"/>
            </w:tcBorders>
            <w:shd w:val="clear" w:color="auto" w:fill="auto"/>
            <w:vAlign w:val="center"/>
          </w:tcPr>
          <w:p w14:paraId="6F6957BD">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正高级</w:t>
            </w:r>
          </w:p>
        </w:tc>
        <w:tc>
          <w:tcPr>
            <w:tcW w:w="1417" w:type="pct"/>
            <w:tcBorders>
              <w:top w:val="single" w:color="auto" w:sz="4" w:space="0"/>
              <w:left w:val="nil"/>
              <w:bottom w:val="single" w:color="auto" w:sz="4" w:space="0"/>
              <w:right w:val="single" w:color="auto" w:sz="4" w:space="0"/>
            </w:tcBorders>
            <w:shd w:val="clear" w:color="auto" w:fill="auto"/>
            <w:vAlign w:val="center"/>
          </w:tcPr>
          <w:p w14:paraId="0823ED32">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60（≤2项）</w:t>
            </w:r>
          </w:p>
        </w:tc>
        <w:tc>
          <w:tcPr>
            <w:tcW w:w="1867" w:type="pct"/>
            <w:tcBorders>
              <w:top w:val="single" w:color="auto" w:sz="4" w:space="0"/>
              <w:left w:val="nil"/>
              <w:bottom w:val="single" w:color="auto" w:sz="4" w:space="0"/>
              <w:right w:val="single" w:color="auto" w:sz="4" w:space="0"/>
            </w:tcBorders>
            <w:shd w:val="clear" w:color="auto" w:fill="auto"/>
            <w:vAlign w:val="center"/>
          </w:tcPr>
          <w:p w14:paraId="4919B0D4">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60（≤3篇、部）</w:t>
            </w:r>
          </w:p>
        </w:tc>
      </w:tr>
      <w:tr w14:paraId="06CA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019" w:type="pct"/>
            <w:vMerge w:val="continue"/>
            <w:tcBorders>
              <w:top w:val="nil"/>
              <w:left w:val="single" w:color="auto" w:sz="4" w:space="0"/>
              <w:bottom w:val="single" w:color="auto" w:sz="4" w:space="0"/>
              <w:right w:val="single" w:color="auto" w:sz="4" w:space="0"/>
            </w:tcBorders>
            <w:shd w:val="clear" w:color="auto" w:fill="auto"/>
            <w:vAlign w:val="center"/>
          </w:tcPr>
          <w:p w14:paraId="162BC1F7">
            <w:pPr>
              <w:keepNext w:val="0"/>
              <w:keepLines w:val="0"/>
              <w:pageBreakBefore w:val="0"/>
              <w:suppressLineNumbers w:val="0"/>
              <w:kinsoku/>
              <w:wordWrap/>
              <w:overflowPunct/>
              <w:topLinePunct w:val="0"/>
              <w:autoSpaceDN/>
              <w:bidi w:val="0"/>
              <w:adjustRightInd w:val="0"/>
              <w:snapToGrid w:val="0"/>
              <w:spacing w:before="0" w:beforeAutospacing="0" w:after="0" w:afterAutospacing="0" w:line="500" w:lineRule="exact"/>
              <w:ind w:left="0" w:right="0"/>
              <w:jc w:val="both"/>
              <w:textAlignment w:val="auto"/>
              <w:rPr>
                <w:rFonts w:hint="default" w:ascii="Times New Roman" w:hAnsi="Times New Roman" w:cs="Times New Roman"/>
                <w:sz w:val="20"/>
                <w:szCs w:val="20"/>
                <w:woUserID w:val="1"/>
              </w:rPr>
            </w:pPr>
          </w:p>
        </w:tc>
        <w:tc>
          <w:tcPr>
            <w:tcW w:w="694" w:type="pct"/>
            <w:tcBorders>
              <w:top w:val="single" w:color="auto" w:sz="4" w:space="0"/>
              <w:left w:val="nil"/>
              <w:bottom w:val="single" w:color="auto" w:sz="4" w:space="0"/>
              <w:right w:val="single" w:color="auto" w:sz="4" w:space="0"/>
            </w:tcBorders>
            <w:shd w:val="clear" w:color="auto" w:fill="auto"/>
            <w:vAlign w:val="center"/>
          </w:tcPr>
          <w:p w14:paraId="557CCCB0">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副高级</w:t>
            </w:r>
          </w:p>
        </w:tc>
        <w:tc>
          <w:tcPr>
            <w:tcW w:w="1417" w:type="pct"/>
            <w:tcBorders>
              <w:top w:val="single" w:color="auto" w:sz="4" w:space="0"/>
              <w:left w:val="nil"/>
              <w:bottom w:val="single" w:color="auto" w:sz="4" w:space="0"/>
              <w:right w:val="single" w:color="auto" w:sz="4" w:space="0"/>
            </w:tcBorders>
            <w:shd w:val="clear" w:color="auto" w:fill="auto"/>
            <w:vAlign w:val="center"/>
          </w:tcPr>
          <w:p w14:paraId="7CEC5DDC">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30（≤1项）</w:t>
            </w:r>
          </w:p>
        </w:tc>
        <w:tc>
          <w:tcPr>
            <w:tcW w:w="1867" w:type="pct"/>
            <w:tcBorders>
              <w:top w:val="single" w:color="auto" w:sz="4" w:space="0"/>
              <w:left w:val="nil"/>
              <w:bottom w:val="single" w:color="auto" w:sz="4" w:space="0"/>
              <w:right w:val="single" w:color="auto" w:sz="4" w:space="0"/>
            </w:tcBorders>
            <w:shd w:val="clear" w:color="auto" w:fill="auto"/>
            <w:vAlign w:val="center"/>
          </w:tcPr>
          <w:p w14:paraId="6BFE7EA3">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30（≤2篇、部）</w:t>
            </w:r>
          </w:p>
        </w:tc>
      </w:tr>
      <w:tr w14:paraId="3C84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019" w:type="pct"/>
            <w:vMerge w:val="restart"/>
            <w:tcBorders>
              <w:top w:val="nil"/>
              <w:left w:val="single" w:color="auto" w:sz="4" w:space="0"/>
              <w:bottom w:val="single" w:color="auto" w:sz="4" w:space="0"/>
              <w:right w:val="single" w:color="auto" w:sz="4" w:space="0"/>
            </w:tcBorders>
            <w:shd w:val="clear" w:color="auto" w:fill="auto"/>
            <w:vAlign w:val="center"/>
          </w:tcPr>
          <w:p w14:paraId="0BFF55C1">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学生思想政治教育系列B</w:t>
            </w:r>
          </w:p>
        </w:tc>
        <w:tc>
          <w:tcPr>
            <w:tcW w:w="694" w:type="pct"/>
            <w:tcBorders>
              <w:top w:val="single" w:color="auto" w:sz="4" w:space="0"/>
              <w:left w:val="nil"/>
              <w:bottom w:val="single" w:color="auto" w:sz="4" w:space="0"/>
              <w:right w:val="single" w:color="auto" w:sz="4" w:space="0"/>
            </w:tcBorders>
            <w:shd w:val="clear" w:color="auto" w:fill="auto"/>
            <w:vAlign w:val="center"/>
          </w:tcPr>
          <w:p w14:paraId="1CF57525">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教授</w:t>
            </w:r>
          </w:p>
        </w:tc>
        <w:tc>
          <w:tcPr>
            <w:tcW w:w="1417" w:type="pct"/>
            <w:tcBorders>
              <w:top w:val="single" w:color="auto" w:sz="4" w:space="0"/>
              <w:left w:val="nil"/>
              <w:bottom w:val="single" w:color="auto" w:sz="4" w:space="0"/>
              <w:right w:val="single" w:color="auto" w:sz="4" w:space="0"/>
            </w:tcBorders>
            <w:shd w:val="clear" w:color="auto" w:fill="auto"/>
            <w:vAlign w:val="center"/>
          </w:tcPr>
          <w:p w14:paraId="065CD433">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30（≤1项）</w:t>
            </w:r>
          </w:p>
        </w:tc>
        <w:tc>
          <w:tcPr>
            <w:tcW w:w="1867" w:type="pct"/>
            <w:tcBorders>
              <w:top w:val="single" w:color="auto" w:sz="4" w:space="0"/>
              <w:left w:val="nil"/>
              <w:bottom w:val="single" w:color="auto" w:sz="4" w:space="0"/>
              <w:right w:val="single" w:color="auto" w:sz="4" w:space="0"/>
            </w:tcBorders>
            <w:shd w:val="clear" w:color="auto" w:fill="auto"/>
            <w:vAlign w:val="center"/>
          </w:tcPr>
          <w:p w14:paraId="7DA12ADE">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30（≤2篇、部）</w:t>
            </w:r>
          </w:p>
        </w:tc>
      </w:tr>
      <w:tr w14:paraId="370C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19" w:type="pct"/>
            <w:vMerge w:val="continue"/>
            <w:tcBorders>
              <w:top w:val="nil"/>
              <w:left w:val="single" w:color="auto" w:sz="4" w:space="0"/>
              <w:bottom w:val="single" w:color="auto" w:sz="4" w:space="0"/>
              <w:right w:val="single" w:color="auto" w:sz="4" w:space="0"/>
            </w:tcBorders>
            <w:shd w:val="clear" w:color="auto" w:fill="auto"/>
            <w:vAlign w:val="center"/>
          </w:tcPr>
          <w:p w14:paraId="2E367145">
            <w:pPr>
              <w:keepNext w:val="0"/>
              <w:keepLines w:val="0"/>
              <w:pageBreakBefore w:val="0"/>
              <w:suppressLineNumbers w:val="0"/>
              <w:kinsoku/>
              <w:wordWrap/>
              <w:overflowPunct/>
              <w:topLinePunct w:val="0"/>
              <w:autoSpaceDN/>
              <w:bidi w:val="0"/>
              <w:adjustRightInd w:val="0"/>
              <w:snapToGrid w:val="0"/>
              <w:spacing w:before="0" w:beforeAutospacing="0" w:after="0" w:afterAutospacing="0" w:line="500" w:lineRule="exact"/>
              <w:ind w:left="0" w:right="0"/>
              <w:jc w:val="both"/>
              <w:textAlignment w:val="auto"/>
              <w:rPr>
                <w:rFonts w:hint="default" w:ascii="Times New Roman" w:hAnsi="Times New Roman" w:cs="Times New Roman"/>
                <w:sz w:val="20"/>
                <w:szCs w:val="20"/>
                <w:woUserID w:val="1"/>
              </w:rPr>
            </w:pPr>
          </w:p>
        </w:tc>
        <w:tc>
          <w:tcPr>
            <w:tcW w:w="694" w:type="pct"/>
            <w:tcBorders>
              <w:top w:val="single" w:color="auto" w:sz="4" w:space="0"/>
              <w:left w:val="nil"/>
              <w:bottom w:val="single" w:color="auto" w:sz="4" w:space="0"/>
              <w:right w:val="single" w:color="auto" w:sz="4" w:space="0"/>
            </w:tcBorders>
            <w:shd w:val="clear" w:color="auto" w:fill="auto"/>
            <w:vAlign w:val="center"/>
          </w:tcPr>
          <w:p w14:paraId="3AC71900">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0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副教授</w:t>
            </w:r>
          </w:p>
        </w:tc>
        <w:tc>
          <w:tcPr>
            <w:tcW w:w="1417" w:type="pct"/>
            <w:tcBorders>
              <w:top w:val="single" w:color="auto" w:sz="4" w:space="0"/>
              <w:left w:val="nil"/>
              <w:bottom w:val="single" w:color="auto" w:sz="4" w:space="0"/>
              <w:right w:val="single" w:color="auto" w:sz="4" w:space="0"/>
            </w:tcBorders>
            <w:shd w:val="clear" w:color="auto" w:fill="auto"/>
            <w:vAlign w:val="center"/>
          </w:tcPr>
          <w:p w14:paraId="24428FD7">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46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20（≤1项），或以第7项第①点替代</w:t>
            </w:r>
          </w:p>
        </w:tc>
        <w:tc>
          <w:tcPr>
            <w:tcW w:w="1867" w:type="pct"/>
            <w:tcBorders>
              <w:top w:val="single" w:color="auto" w:sz="4" w:space="0"/>
              <w:left w:val="nil"/>
              <w:bottom w:val="single" w:color="auto" w:sz="4" w:space="0"/>
              <w:right w:val="single" w:color="auto" w:sz="4" w:space="0"/>
            </w:tcBorders>
            <w:shd w:val="clear" w:color="auto" w:fill="auto"/>
            <w:vAlign w:val="center"/>
          </w:tcPr>
          <w:p w14:paraId="06885E76">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460" w:lineRule="exact"/>
              <w:ind w:left="0" w:leftChars="0" w:right="0" w:right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20（≤2篇、部），或以第7项第②点替代</w:t>
            </w:r>
          </w:p>
        </w:tc>
      </w:tr>
    </w:tbl>
    <w:p w14:paraId="617125E4">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right="0"/>
        <w:jc w:val="left"/>
        <w:textAlignment w:val="auto"/>
        <w:rPr>
          <w:rFonts w:hint="default" w:ascii="仿宋_GB2312" w:eastAsia="仿宋_GB2312" w:cs="仿宋_GB2312"/>
          <w:b/>
          <w:bCs/>
          <w:kern w:val="2"/>
          <w:sz w:val="21"/>
          <w:szCs w:val="21"/>
          <w:woUserID w:val="1"/>
        </w:rPr>
      </w:pPr>
      <w:bookmarkStart w:id="0" w:name="_GoBack"/>
      <w:r>
        <w:rPr>
          <w:rFonts w:hint="default" w:ascii="仿宋_GB2312" w:hAnsi="Times New Roman" w:eastAsia="仿宋_GB2312" w:cs="仿宋_GB2312"/>
          <w:b/>
          <w:bCs/>
          <w:kern w:val="0"/>
          <w:sz w:val="21"/>
          <w:szCs w:val="21"/>
          <w:lang w:val="en-US" w:eastAsia="zh-CN" w:bidi="ar"/>
          <w:woUserID w:val="1"/>
        </w:rPr>
        <w:t>注：</w:t>
      </w:r>
    </w:p>
    <w:p w14:paraId="5D5514EB">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leftChars="0" w:right="0" w:firstLine="40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1.申报学生思想政治系列或高等教育管理系列高级专业技术职务，横向项目不纳入计分；其中申报教授或研究员，须至少主持1向省部级及以上科研项目。</w:t>
      </w:r>
    </w:p>
    <w:p w14:paraId="7C9E0465">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leftChars="0" w:right="0" w:firstLine="40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2.申报学生思想政治系列高级专业技术职务，均须主讲1门纳入人才培养方案的思想道德与法治、职业生涯规划、就业指导、创新创业教育、心理健康教育等课程，年度课堂工作量不少于48课时。</w:t>
      </w:r>
    </w:p>
    <w:p w14:paraId="14C0E911">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leftChars="0" w:right="0" w:firstLine="40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申报高等教育管理系列高级专业技术职务，应结合岗位工作，独立起草或主持制订过学校重要管理文件、发展规划、重要改革方案或撰写调研报告等（其中研究员2项及以上，副研究员1项及以上），近三年内未出现较大工作失误。</w:t>
      </w:r>
    </w:p>
    <w:p w14:paraId="05BC7C58">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leftChars="0" w:right="0" w:firstLine="40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4.申报学生思想政治系列教授或高等教育管理系列研究员，近5年内年度考核优秀1次；相关工作经验应在省级及以上教育等主管部门工作会议上发言交流，或被省级及以上教育等主管部门简报宣传，或收入省级及以上教育等主管部门交流文集，或在任内获评国家级党建品牌项目或工作室（排名前三），或作为主要负责人在任内获评省级党建品牌项目或工作室，或本人因工作实绩突出获得优秀共产党员、优秀党务工作者、优秀教师、优秀教育工作者（含管理类）、优秀教务员等市（厅）级及以上表彰。</w:t>
      </w:r>
    </w:p>
    <w:p w14:paraId="54D48C22">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20" w:lineRule="exact"/>
        <w:ind w:left="0" w:right="0" w:firstLine="420" w:firstLineChars="200"/>
        <w:jc w:val="both"/>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5.申报学生思想政治系列副教授或高等教育系列副研究员，近5年内年度考核优秀1次；在任内获评国家级党建品牌项目或工作室（排名前五），或在任内获评省级党建品牌项目或工作室（排名前三），或获得市（厅）级及以上综合性荣誉。</w:t>
      </w:r>
    </w:p>
    <w:p w14:paraId="2001E68D">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leftChars="0" w:right="0" w:firstLine="40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6.申报学生思想政治教育系列（B）须满足以下条件：</w:t>
      </w:r>
    </w:p>
    <w:p w14:paraId="7309F608">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leftChars="0" w:right="0" w:firstLine="400" w:firstLineChars="0"/>
        <w:jc w:val="left"/>
        <w:textAlignment w:val="auto"/>
        <w:rPr>
          <w:rFonts w:hint="default" w:ascii="仿宋_GB2312" w:eastAsia="仿宋_GB2312" w:cs="仿宋_GB2312"/>
          <w:kern w:val="0"/>
          <w:sz w:val="21"/>
          <w:szCs w:val="21"/>
          <w:woUserID w:val="1"/>
        </w:rPr>
      </w:pPr>
      <w:r>
        <w:rPr>
          <w:rFonts w:hint="default" w:ascii="楷体_GB2312" w:hAnsi="Times New Roman" w:eastAsia="楷体_GB2312" w:cs="楷体_GB2312"/>
          <w:kern w:val="0"/>
          <w:sz w:val="21"/>
          <w:szCs w:val="21"/>
          <w:lang w:val="en-US" w:eastAsia="zh-CN" w:bidi="ar"/>
          <w:woUserID w:val="1"/>
        </w:rPr>
        <w:t>①申报</w:t>
      </w:r>
      <w:r>
        <w:rPr>
          <w:rFonts w:hint="default" w:ascii="仿宋_GB2312" w:hAnsi="Times New Roman" w:eastAsia="仿宋_GB2312" w:cs="仿宋_GB2312"/>
          <w:kern w:val="0"/>
          <w:sz w:val="21"/>
          <w:szCs w:val="21"/>
          <w:lang w:val="en-US" w:eastAsia="zh-CN" w:bidi="ar"/>
          <w:woUserID w:val="1"/>
        </w:rPr>
        <w:t>教授须现职一线从事大学生思想政治教育工作，全面、独立承担学校安排学生教育、管理、服务工作满10年，近5年内辅导员年度考核优秀2次及以上，获厅级及以上思政类荣誉（奖项）2项及以上，负责1门纳入人才培养方案的课程建设；</w:t>
      </w:r>
    </w:p>
    <w:p w14:paraId="7E401EDA">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leftChars="0" w:right="0" w:firstLine="400" w:firstLineChars="0"/>
        <w:jc w:val="left"/>
        <w:textAlignment w:val="auto"/>
        <w:rPr>
          <w:rFonts w:hint="default" w:ascii="仿宋_GB2312" w:eastAsia="仿宋_GB2312" w:cs="仿宋_GB2312"/>
          <w:kern w:val="0"/>
          <w:sz w:val="21"/>
          <w:szCs w:val="21"/>
          <w:woUserID w:val="1"/>
        </w:rPr>
      </w:pPr>
      <w:r>
        <w:rPr>
          <w:rFonts w:hint="default" w:ascii="楷体_GB2312" w:hAnsi="Times New Roman" w:eastAsia="楷体_GB2312" w:cs="楷体_GB2312"/>
          <w:kern w:val="0"/>
          <w:sz w:val="21"/>
          <w:szCs w:val="21"/>
          <w:lang w:val="en-US" w:eastAsia="zh-CN" w:bidi="ar"/>
          <w:woUserID w:val="1"/>
        </w:rPr>
        <w:t>②</w:t>
      </w:r>
      <w:r>
        <w:rPr>
          <w:rFonts w:hint="default" w:ascii="仿宋_GB2312" w:hAnsi="Times New Roman" w:eastAsia="仿宋_GB2312" w:cs="仿宋_GB2312"/>
          <w:kern w:val="0"/>
          <w:sz w:val="21"/>
          <w:szCs w:val="21"/>
          <w:lang w:val="en-US" w:eastAsia="zh-CN" w:bidi="ar"/>
          <w:woUserID w:val="1"/>
        </w:rPr>
        <w:t>申报副教授须现职在一线从事大学生思想政治教育工作，全面、独立承担学校安排学生教育、管理、服务工作满5年，近5年内辅导员年度考核优秀1次及以上，获厅级及以上思政类荣誉（奖项）1项及以上，参与1门纳入人才培养方案的课程建设。</w:t>
      </w:r>
    </w:p>
    <w:p w14:paraId="0A4794C2">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right="0" w:firstLine="420" w:firstLineChars="20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7.申报学生思想政治教育系列（B）取得以下成果可替代相应业绩：</w:t>
      </w:r>
    </w:p>
    <w:p w14:paraId="2111FBA1">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right="0" w:firstLine="420" w:firstLineChars="200"/>
        <w:jc w:val="left"/>
        <w:textAlignment w:val="auto"/>
        <w:rPr>
          <w:rFonts w:hint="default" w:ascii="仿宋_GB2312" w:eastAsia="仿宋_GB2312" w:cs="仿宋_GB2312"/>
          <w:kern w:val="0"/>
          <w:sz w:val="21"/>
          <w:szCs w:val="21"/>
          <w:woUserID w:val="1"/>
        </w:rPr>
      </w:pPr>
      <w:r>
        <w:rPr>
          <w:rFonts w:hint="default" w:ascii="楷体_GB2312" w:hAnsi="Times New Roman" w:eastAsia="楷体_GB2312" w:cs="楷体_GB2312"/>
          <w:kern w:val="0"/>
          <w:sz w:val="21"/>
          <w:szCs w:val="21"/>
          <w:lang w:val="en-US" w:eastAsia="zh-CN" w:bidi="ar"/>
          <w:woUserID w:val="1"/>
        </w:rPr>
        <w:t>①</w:t>
      </w:r>
      <w:r>
        <w:rPr>
          <w:rFonts w:hint="default" w:ascii="仿宋_GB2312" w:hAnsi="Times New Roman" w:eastAsia="仿宋_GB2312" w:cs="仿宋_GB2312"/>
          <w:kern w:val="0"/>
          <w:sz w:val="21"/>
          <w:szCs w:val="21"/>
          <w:lang w:val="en-US" w:eastAsia="zh-CN" w:bidi="ar"/>
          <w:woUserID w:val="1"/>
        </w:rPr>
        <w:t>主持省级思政类专项课题1项及市厅级一般项目1项，且</w:t>
      </w:r>
      <w:r>
        <w:rPr>
          <w:rFonts w:hint="default" w:ascii="楷体_GB2312" w:hAnsi="Times New Roman" w:eastAsia="楷体_GB2312" w:cs="楷体_GB2312"/>
          <w:kern w:val="0"/>
          <w:sz w:val="21"/>
          <w:szCs w:val="21"/>
          <w:lang w:val="en-US" w:eastAsia="zh-CN" w:bidi="ar"/>
          <w:woUserID w:val="1"/>
        </w:rPr>
        <w:t>取得</w:t>
      </w:r>
      <w:r>
        <w:rPr>
          <w:rFonts w:hint="default" w:ascii="仿宋_GB2312" w:hAnsi="Times New Roman" w:eastAsia="仿宋_GB2312" w:cs="仿宋_GB2312"/>
          <w:kern w:val="0"/>
          <w:sz w:val="21"/>
          <w:szCs w:val="21"/>
          <w:lang w:val="en-US" w:eastAsia="zh-CN" w:bidi="ar"/>
          <w:woUserID w:val="1"/>
        </w:rPr>
        <w:t>学生工作标志性业绩之一：指导学生获中国国际大学生创新大赛省赛金奖（排名前2）；挑战杯系列竞赛省赛金奖（排名前2）；大学生职业规划大赛省赛金奖（排名前2）；全国辅导员素质能力大赛三等奖；浙江省辅导员素质能力大赛二等奖；</w:t>
      </w:r>
    </w:p>
    <w:p w14:paraId="3F55BD3F">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leftChars="0" w:right="0" w:firstLine="400" w:firstLineChars="0"/>
        <w:jc w:val="left"/>
        <w:textAlignment w:val="auto"/>
        <w:rPr>
          <w:rFonts w:hint="default" w:ascii="仿宋_GB2312" w:eastAsia="仿宋_GB2312" w:cs="仿宋_GB2312"/>
          <w:kern w:val="0"/>
          <w:sz w:val="21"/>
          <w:szCs w:val="21"/>
          <w:woUserID w:val="1"/>
        </w:rPr>
      </w:pPr>
      <w:r>
        <w:rPr>
          <w:rFonts w:hint="default" w:ascii="楷体_GB2312" w:hAnsi="Times New Roman" w:eastAsia="楷体_GB2312" w:cs="楷体_GB2312"/>
          <w:kern w:val="0"/>
          <w:sz w:val="21"/>
          <w:szCs w:val="21"/>
          <w:lang w:val="en-US" w:eastAsia="zh-CN" w:bidi="ar"/>
          <w:woUserID w:val="1"/>
        </w:rPr>
        <w:t>②</w:t>
      </w:r>
      <w:r>
        <w:rPr>
          <w:rFonts w:hint="default" w:ascii="仿宋_GB2312" w:hAnsi="Times New Roman" w:eastAsia="仿宋_GB2312" w:cs="仿宋_GB2312"/>
          <w:kern w:val="0"/>
          <w:sz w:val="21"/>
          <w:szCs w:val="21"/>
          <w:lang w:val="en-US" w:eastAsia="zh-CN" w:bidi="ar"/>
          <w:woUserID w:val="1"/>
        </w:rPr>
        <w:t>发表E级论文1篇或主持完成全省思政精品项目或取得辅导员工作案例二等奖及以上，</w:t>
      </w:r>
      <w:r>
        <w:rPr>
          <w:rFonts w:hint="default" w:ascii="楷体_GB2312" w:hAnsi="Times New Roman" w:eastAsia="楷体_GB2312" w:cs="楷体_GB2312"/>
          <w:kern w:val="0"/>
          <w:sz w:val="21"/>
          <w:szCs w:val="21"/>
          <w:lang w:val="en-US" w:eastAsia="zh-CN" w:bidi="ar"/>
          <w:woUserID w:val="1"/>
        </w:rPr>
        <w:t>且取得</w:t>
      </w:r>
      <w:r>
        <w:rPr>
          <w:rFonts w:hint="default" w:ascii="仿宋_GB2312" w:hAnsi="Times New Roman" w:eastAsia="仿宋_GB2312" w:cs="仿宋_GB2312"/>
          <w:kern w:val="0"/>
          <w:sz w:val="21"/>
          <w:szCs w:val="21"/>
          <w:lang w:val="en-US" w:eastAsia="zh-CN" w:bidi="ar"/>
          <w:woUserID w:val="1"/>
        </w:rPr>
        <w:t>学生工作标志性业绩之一：指导学生获中国国际大学生创新大赛省赛金奖（排名前2）；挑战杯系列竞赛省赛金奖（排名前2）；大学生职业规划大赛省赛金奖（排名前2）；全国辅导员素质能力大赛三等奖；浙江省辅导员素质能力大赛二等奖。</w:t>
      </w:r>
    </w:p>
    <w:p w14:paraId="7C16B110">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520" w:lineRule="exact"/>
        <w:ind w:left="0" w:right="0" w:firstLine="420" w:firstLineChars="200"/>
        <w:jc w:val="left"/>
        <w:textAlignment w:val="auto"/>
        <w:rPr>
          <w:rFonts w:hint="default" w:ascii="仿宋_GB2312" w:eastAsia="仿宋_GB2312" w:cs="仿宋_GB2312"/>
          <w:kern w:val="0"/>
          <w:sz w:val="21"/>
          <w:szCs w:val="21"/>
          <w:woUserID w:val="1"/>
        </w:rPr>
      </w:pPr>
      <w:r>
        <w:rPr>
          <w:rFonts w:hint="default" w:ascii="楷体_GB2312" w:hAnsi="Times New Roman" w:eastAsia="楷体_GB2312" w:cs="楷体_GB2312"/>
          <w:kern w:val="0"/>
          <w:sz w:val="21"/>
          <w:szCs w:val="21"/>
          <w:lang w:val="en-US" w:eastAsia="zh-CN" w:bidi="ar"/>
          <w:woUserID w:val="1"/>
        </w:rPr>
        <w:t>①②</w:t>
      </w:r>
      <w:r>
        <w:rPr>
          <w:rFonts w:hint="default" w:ascii="仿宋_GB2312" w:hAnsi="Times New Roman" w:eastAsia="仿宋_GB2312" w:cs="仿宋_GB2312"/>
          <w:kern w:val="0"/>
          <w:sz w:val="21"/>
          <w:szCs w:val="21"/>
          <w:lang w:val="en-US" w:eastAsia="zh-CN" w:bidi="ar"/>
          <w:woUserID w:val="1"/>
        </w:rPr>
        <w:t>两项业绩替代只可选择使用一次。</w:t>
      </w:r>
    </w:p>
    <w:p w14:paraId="2CC52DFA">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520" w:lineRule="exact"/>
        <w:ind w:left="0" w:right="0"/>
        <w:jc w:val="both"/>
        <w:textAlignment w:val="auto"/>
        <w:rPr>
          <w:rFonts w:hint="eastAsia" w:ascii="黑体" w:hAnsi="宋体" w:eastAsia="黑体" w:cs="黑体"/>
          <w:kern w:val="0"/>
          <w:sz w:val="32"/>
          <w:szCs w:val="32"/>
          <w:woUserID w:val="1"/>
        </w:rPr>
      </w:pPr>
      <w:r>
        <w:rPr>
          <w:rFonts w:hint="default" w:ascii="仿宋_GB2312" w:hAnsi="Times New Roman" w:eastAsia="仿宋_GB2312" w:cs="仿宋_GB2312"/>
          <w:kern w:val="0"/>
          <w:sz w:val="21"/>
          <w:szCs w:val="21"/>
          <w:lang w:val="en-US" w:eastAsia="zh-CN" w:bidi="ar"/>
          <w:woUserID w:val="1"/>
        </w:rPr>
        <w:t xml:space="preserve"> </w:t>
      </w:r>
    </w:p>
    <w:bookmarkEnd w:id="0"/>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EB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85AF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85AF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25EC">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FFA3C3B"/>
    <w:rsid w:val="138E52CB"/>
    <w:rsid w:val="162A2A48"/>
    <w:rsid w:val="1AA24D9F"/>
    <w:rsid w:val="28B53D16"/>
    <w:rsid w:val="379B6221"/>
    <w:rsid w:val="4FFAD4D8"/>
    <w:rsid w:val="6D535020"/>
    <w:rsid w:val="77FABE08"/>
    <w:rsid w:val="7F79C282"/>
    <w:rsid w:val="97BBAE65"/>
    <w:rsid w:val="9FD34DAA"/>
    <w:rsid w:val="CE9F3ECD"/>
    <w:rsid w:val="E9EE4B8E"/>
    <w:rsid w:val="EB0FA1C4"/>
    <w:rsid w:val="F5757404"/>
    <w:rsid w:val="F68EB033"/>
    <w:rsid w:val="FBAFC704"/>
    <w:rsid w:val="FBBA06F3"/>
    <w:rsid w:val="FBFBA010"/>
    <w:rsid w:val="FDEA700A"/>
    <w:rsid w:val="FF729807"/>
    <w:rsid w:val="FFD441EC"/>
    <w:rsid w:val="FFF7C206"/>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keepNext w:val="0"/>
      <w:keepLines w:val="0"/>
      <w:widowControl w:val="0"/>
      <w:suppressLineNumbers w:val="0"/>
      <w:spacing w:before="0" w:beforeAutospacing="0" w:after="0" w:afterAutospacing="0"/>
      <w:ind w:left="0" w:right="0"/>
      <w:jc w:val="both"/>
    </w:pPr>
    <w:rPr>
      <w:rFonts w:hint="default" w:ascii="仿宋_GB2312" w:hAnsi="仿宋_GB2312" w:eastAsia="仿宋_GB2312" w:cs="仿宋_GB2312"/>
      <w:kern w:val="2"/>
      <w:sz w:val="31"/>
      <w:szCs w:val="31"/>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7">
    <w:name w:val="Table Grid"/>
    <w:basedOn w:val="6"/>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8110</Words>
  <Characters>8353</Characters>
  <Lines>1</Lines>
  <Paragraphs>1</Paragraphs>
  <TotalTime>2</TotalTime>
  <ScaleCrop>false</ScaleCrop>
  <LinksUpToDate>false</LinksUpToDate>
  <CharactersWithSpaces>8372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2025-12-31T18:06:00Z</dcterms:created>
  <dc:creator>Administrator.BF-20221123TBSY</dc:creator>
  <cp:lastModifiedBy>徐仙发</cp:lastModifiedBy>
  <dcterms:modified xsi:type="dcterms:W3CDTF">2025-12-31T07:34:50Z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C2E52170C3A5E8B185CA54696E7C2C69_43</vt:lpwstr>
  </property>
  <property fmtid="{D5CDD505-2E9C-101B-9397-08002B2CF9AE}" pid="4" name="KSOTemplateDocerSaveRecord">
    <vt:lpwstr>eyJoZGlkIjoiYWNhZTBjYjg5ZTk4ODdiNmE4NGI3MjJjNGMxMjE2MDQiLCJ1c2VySWQiOiIxNzM1NjA3Mjk1In0=</vt:lpwstr>
  </property>
</Properties>
</file>