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2025年度述职报告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刘克勤</w:t>
      </w:r>
    </w:p>
    <w:p>
      <w:pPr>
        <w:pStyle w:val="5"/>
        <w:widowControl/>
        <w:numPr>
          <w:ilvl w:val="0"/>
          <w:numId w:val="0"/>
        </w:numPr>
        <w:spacing w:beforeAutospacing="0" w:after="93" w:afterLines="30" w:afterAutospacing="0" w:line="560" w:lineRule="exact"/>
        <w:ind w:firstLine="640" w:firstLineChars="200"/>
        <w:jc w:val="both"/>
        <w:rPr>
          <w:rFonts w:hint="eastAsia" w:ascii="仿宋_GB2312" w:hAnsi="黑体" w:eastAsia="仿宋_GB2312" w:cs="Arial"/>
          <w:kern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Arial"/>
          <w:kern w:val="0"/>
          <w:sz w:val="32"/>
          <w:szCs w:val="32"/>
          <w:lang w:val="en-US" w:eastAsia="zh-CN"/>
        </w:rPr>
        <w:t>今年是全面贯彻党的二十大和二十届三中、四中全会精神年，也是两山学院直属支部接受学校巡察，本人任两山学院执行院长、支部书记并兼任科研处处长的第一整年。本人获2024年度向国家民委报送信息先进个人；获浙江省教学成果二等奖并获丽水市教学成果特等奖；获丽水市“大搬快聚富民安居”工程成绩突出先进个人。现根据党委组织部年度考核、述职与测评要求，将一年主要工作报告如下：</w:t>
      </w:r>
    </w:p>
    <w:p>
      <w:pPr>
        <w:pStyle w:val="5"/>
        <w:widowControl/>
        <w:numPr>
          <w:ilvl w:val="0"/>
          <w:numId w:val="0"/>
        </w:numPr>
        <w:spacing w:beforeAutospacing="0" w:after="93" w:afterLines="30" w:afterAutospacing="0" w:line="560" w:lineRule="exact"/>
        <w:ind w:firstLine="643" w:firstLineChars="200"/>
        <w:jc w:val="both"/>
        <w:rPr>
          <w:rFonts w:hint="eastAsia" w:ascii="仿宋_GB2312" w:hAnsi="黑体" w:eastAsia="仿宋_GB2312" w:cs="Arial"/>
          <w:kern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Arial"/>
          <w:b/>
          <w:bCs/>
          <w:kern w:val="0"/>
          <w:sz w:val="32"/>
          <w:szCs w:val="32"/>
          <w:lang w:val="en-US" w:eastAsia="zh-CN"/>
        </w:rPr>
        <w:t>明德勤学，担当笃行做政治坚定本领高强的共产党员。</w:t>
      </w:r>
      <w:r>
        <w:rPr>
          <w:rFonts w:hint="eastAsia" w:ascii="仿宋_GB2312" w:hAnsi="黑体" w:eastAsia="仿宋_GB2312" w:cs="Arial"/>
          <w:kern w:val="0"/>
          <w:sz w:val="32"/>
          <w:szCs w:val="32"/>
          <w:lang w:val="en-US" w:eastAsia="zh-CN"/>
        </w:rPr>
        <w:t>坚持以习近平新时代中国特色社会主义思想为指导，学习贯彻党的二十大和二十届三中、四中全会精神，认真学习习近平生态文明思想，深入践行“绿水青山就是金山银山”发展理念。在科研平台、科研处等管理岗位工作，政治立场坚定、政治觉悟较高，做好了“两山共富”服务高质量绿色发展、高能级平台申报、高水平项目申报等文章。通过校级巡察、中层干部任期审计等着力解决理论学习、政治素质、能力本领、担当作为、工作作风、廉洁自律等6个方面的突出问题。</w:t>
      </w:r>
    </w:p>
    <w:p>
      <w:pPr>
        <w:pStyle w:val="5"/>
        <w:widowControl/>
        <w:numPr>
          <w:ilvl w:val="0"/>
          <w:numId w:val="0"/>
        </w:numPr>
        <w:spacing w:beforeAutospacing="0" w:after="93" w:afterLines="30" w:afterAutospacing="0" w:line="560" w:lineRule="exact"/>
        <w:ind w:firstLine="640" w:firstLineChars="200"/>
        <w:jc w:val="both"/>
        <w:rPr>
          <w:rFonts w:hint="eastAsia" w:ascii="仿宋_GB2312" w:hAnsi="黑体" w:eastAsia="仿宋_GB2312" w:cs="Arial"/>
          <w:kern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Arial"/>
          <w:kern w:val="0"/>
          <w:sz w:val="32"/>
          <w:szCs w:val="32"/>
          <w:lang w:val="en-US" w:eastAsia="zh-CN"/>
        </w:rPr>
        <w:t>两山直属支部书记工作积极有效，党支部获评“2024 年度先进基层党组织”，在学校首届党支部书记“一融双高”擂台赛暨成果展示活动中荣获一等奖。积极参加党的二十届四中全会精神宣讲与解读，开展“两山”之路专题讲座，接受《新华每日电讯》、浙江卫视、教育之江、湖北广电等媒体专访10余次。以“两山共富”生态产品价值实现为使命，针对革命老区共富先行发展重难点问题，积极攻关，支部品牌效应显著。与中共丽水市发展和改革委员会第四党支部开展党建联建联学，积极探索高质量绿色发展路径。以《牢记嘱托 社科赋能 加快建设“两山共富”现代化新丽水》《实践与观察：生态产品价值实现的“金生丽水”》等专题开展宣讲。</w:t>
      </w:r>
    </w:p>
    <w:p>
      <w:pPr>
        <w:pStyle w:val="5"/>
        <w:widowControl/>
        <w:numPr>
          <w:ilvl w:val="0"/>
          <w:numId w:val="0"/>
        </w:numPr>
        <w:spacing w:beforeAutospacing="0" w:after="93" w:afterLines="30" w:afterAutospacing="0" w:line="560" w:lineRule="exact"/>
        <w:ind w:firstLine="640" w:firstLineChars="200"/>
        <w:jc w:val="both"/>
        <w:rPr>
          <w:rFonts w:hint="eastAsia" w:ascii="仿宋_GB2312" w:hAnsi="黑体" w:eastAsia="仿宋_GB2312" w:cs="Arial"/>
          <w:kern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Arial"/>
          <w:kern w:val="0"/>
          <w:sz w:val="32"/>
          <w:szCs w:val="32"/>
          <w:lang w:val="en-US" w:eastAsia="zh-CN"/>
        </w:rPr>
        <w:t>科学研究工作整体态势持续向好，关键指标实现历史性进展。科研项目呈现量质齐升的良好态势。坚持深化有组织科研，持续推进“科研培育行动、优化项目双导师制、强化学科交叉融合”等一系列创新举措，2025年国家级科研项目数实现“双高”：新增国家级科研项目15项，获立项目数创新高。其中新增国家社科基金10项，创学校历年最好成绩。科研平台呈现能级跃升，取得突破性进展，年度目标完成率100%。视觉智能精益制造协同创新中心成功获批“第八批浙江省协同创新中心”，全省航空金属管件弯曲成形技术与装备重点实验室成功获批“全省重点实验室”。科研奖项呈现水平提高的积极动向。获省部级及以上科研奖项15项，年度目标完成率高达500%。本年度奖项成果不仅在数量上达成突破，更在质量与层次上展现出新的高度。其中，首次获中国产学研合作促进会科技创新奖一等奖1项；获省哲学社会科学优秀成果奖二等奖2项，这是学校时隔四年再次在该权威奖项中斩获二等奖。此外，获批成为2024年度国家大院名校丽水产业科技服务中心入驻单位优秀奖获得者（第一名）。</w:t>
      </w:r>
    </w:p>
    <w:p>
      <w:pPr>
        <w:pStyle w:val="5"/>
        <w:widowControl/>
        <w:numPr>
          <w:ilvl w:val="0"/>
          <w:numId w:val="0"/>
        </w:numPr>
        <w:spacing w:beforeAutospacing="0" w:after="93" w:afterLines="30" w:afterAutospacing="0" w:line="560" w:lineRule="exact"/>
        <w:ind w:firstLine="640" w:firstLineChars="200"/>
        <w:jc w:val="both"/>
        <w:rPr>
          <w:rFonts w:hint="default" w:ascii="仿宋_GB2312" w:hAnsi="黑体" w:eastAsia="仿宋_GB2312" w:cs="Arial"/>
          <w:kern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Arial"/>
          <w:kern w:val="0"/>
          <w:sz w:val="32"/>
          <w:szCs w:val="32"/>
          <w:lang w:val="en-US" w:eastAsia="zh-CN"/>
        </w:rPr>
        <w:t>2025年学习培训分606.75分（中心组学习+专题讲座+集中培训），其中，学习强国积分105501分，高校干部学习平台学分262.75分。为校继续教育学院培训班，中央党校、江西省委党校、丽水市委党校、新和党校等教师干部等辅导报告10余场。</w:t>
      </w:r>
    </w:p>
    <w:p>
      <w:pPr>
        <w:pStyle w:val="5"/>
        <w:widowControl/>
        <w:numPr>
          <w:ilvl w:val="0"/>
          <w:numId w:val="0"/>
        </w:numPr>
        <w:spacing w:beforeAutospacing="0" w:after="93" w:afterLines="30" w:afterAutospacing="0" w:line="560" w:lineRule="exact"/>
        <w:ind w:firstLine="643" w:firstLineChars="200"/>
        <w:jc w:val="both"/>
        <w:rPr>
          <w:rFonts w:hint="eastAsia" w:ascii="仿宋_GB2312" w:hAnsi="黑体" w:eastAsia="仿宋_GB2312" w:cs="Arial"/>
          <w:kern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Arial"/>
          <w:b/>
          <w:bCs/>
          <w:kern w:val="0"/>
          <w:sz w:val="32"/>
          <w:szCs w:val="32"/>
          <w:lang w:val="en-US" w:eastAsia="zh-CN"/>
        </w:rPr>
        <w:t>克己勤勉，守正开新做聚焦中心毅然挺进的中层干部</w:t>
      </w:r>
      <w:r>
        <w:rPr>
          <w:rFonts w:hint="eastAsia" w:ascii="仿宋_GB2312" w:hAnsi="黑体" w:eastAsia="仿宋_GB2312" w:cs="Arial"/>
          <w:kern w:val="0"/>
          <w:sz w:val="32"/>
          <w:szCs w:val="32"/>
          <w:lang w:val="en-US" w:eastAsia="zh-CN"/>
        </w:rPr>
        <w:t>。聚焦科研管理主责主业，省委科研考核第9名，市委考核预计满分。一是优化两山学院空间效能，夯实发展支撑。完成整体搬迁，实现物理空间与精神面貌同步升级。以不足5000 元搬运费建成功能齐全、布局合理的新办公环境。二是围绕生态产品价值实现不断完善学科布局，与江西省新干县人民政府、中国农业大学资源与环境学院在京签署战略合作协议，共建“两山”转化科技小院，标志着全国首个系统化推进“两山”转化的实体化平台正式落地。两山学院提能增效，进步较快。带领院教师积极参与地方政府决策咨询，国家级项目实现新突破——获批国家社会科学基金后期资助项目 1 项，社科赋能全校省级立项14项，本人3项省级项目（其中完成2项，新立项1项智库专项）。三是围绕“两山”发展理念与习近平生态文明思想研究、民族地区高质量绿色发展研究、生态产品价值实现研究三个方向，积极开展赋能革命老区共同富裕先行示范、赋能民族地区乡村振兴、赋能全国生态产品价值实现机制试点示范三大行动，全力推进“两山”发展理念高地建设。国家标准、行业标准有重大突破。学校在“聚焦生态文明实践”征文活动中荣获优秀组织奖。两山学院在浙江省法学会环境资源法学研究会2025年学会活动中获评优秀组织单位。欧阳志云专家（院士）工作站通过年度考核，到账支持经费30万元。两山研究院到帐经费25万元。“两山”共富社科之家到帐经费10万元。四是承办2025年度省级社科之家暨建设“重要窗口”社科调研基地工作推进会，承办“‘两山</w:t>
      </w:r>
      <w:bookmarkStart w:id="0" w:name="_GoBack"/>
      <w:bookmarkEnd w:id="0"/>
      <w:r>
        <w:rPr>
          <w:rFonts w:hint="eastAsia" w:ascii="仿宋_GB2312" w:hAnsi="黑体" w:eastAsia="仿宋_GB2312" w:cs="Arial"/>
          <w:kern w:val="0"/>
          <w:sz w:val="32"/>
          <w:szCs w:val="32"/>
          <w:lang w:val="en-US" w:eastAsia="zh-CN"/>
        </w:rPr>
        <w:t>’理念指引下生态产品价值实现机制法治保障”主题研讨会。在新和分院召开建设更高水平美丽新和暨践行“两山”理念20周年年会。邀请黄承梁、叶赞平、陈飞勇等知名学者开设“两山”大讲堂。继续深化与各生态屏障区属地分院的战略合作和外省市的业务拓展，完成到帐经费151万元。围绕丽水生态产品价值实现、乡村全面振兴、“两山”共富行动等主题，组织“十五五规划及新型城镇化建设培训”等培训班12项，学员500余人次。为本科生、研究生开设《职业伦理与学术规范》、《习近平生态文明思想》、《两山之路》《两山教育》等课程。</w:t>
      </w:r>
    </w:p>
    <w:p>
      <w:pPr>
        <w:pStyle w:val="5"/>
        <w:widowControl/>
        <w:numPr>
          <w:ilvl w:val="0"/>
          <w:numId w:val="0"/>
        </w:numPr>
        <w:spacing w:beforeAutospacing="0" w:after="93" w:afterLines="30" w:afterAutospacing="0" w:line="560" w:lineRule="exact"/>
        <w:ind w:firstLine="643" w:firstLineChars="200"/>
        <w:jc w:val="both"/>
        <w:rPr>
          <w:rFonts w:hint="eastAsia" w:ascii="仿宋_GB2312" w:hAnsi="黑体" w:eastAsia="仿宋_GB2312" w:cs="Arial"/>
          <w:kern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Arial"/>
          <w:b/>
          <w:bCs/>
          <w:kern w:val="0"/>
          <w:sz w:val="32"/>
          <w:szCs w:val="32"/>
          <w:lang w:val="en-US" w:eastAsia="zh-CN"/>
        </w:rPr>
        <w:t>学高为师，正心问学做师生喜爱的高校教师。</w:t>
      </w:r>
      <w:r>
        <w:rPr>
          <w:rFonts w:hint="eastAsia" w:ascii="仿宋_GB2312" w:hAnsi="黑体" w:eastAsia="仿宋_GB2312" w:cs="Arial"/>
          <w:kern w:val="0"/>
          <w:sz w:val="32"/>
          <w:szCs w:val="32"/>
          <w:lang w:val="en-US" w:eastAsia="zh-CN"/>
        </w:rPr>
        <w:t>专注于高等教育和农村发展研究，是乡村振兴、“两山”实践和共同富裕理论研究的践行者。新当选浙江省社会科学界联合会第九届理事会理事、浙江省中小企业研究会第三届理事会副会长、丽水市高级人才联合会副会长兼社科专委会会长、丽水学院社会科学联合会第四届理事会主席，再次入选浙江省生态文明智库联盟理事。与市咨询委共同撰写《加快乡村片区组团发展调研》《加快推进畲药产业化发展的对策建议》获市领导卢彩柳、李汉勤批示。中国社会科学出版社出版《绿水青山就是金山银山：教育与实践》《两山之路》。深度参与起草的《特种生态资产（SEA）评估技术指南 传统村落》团体标准（T/LSZX 0011-2025）正式发布实施。获2024年度向国家民委报送信息先进个人、丽水市“大搬快聚富民安居”工程成绩突出先进个人。在</w:t>
      </w:r>
      <w:r>
        <w:rPr>
          <w:rFonts w:hint="default" w:ascii="仿宋_GB2312" w:hAnsi="黑体" w:eastAsia="仿宋_GB2312" w:cs="Arial"/>
          <w:kern w:val="0"/>
          <w:sz w:val="32"/>
          <w:szCs w:val="32"/>
          <w:lang w:val="en-US" w:eastAsia="zh-CN"/>
        </w:rPr>
        <w:t>中共浙江省委宣传部</w:t>
      </w:r>
      <w:r>
        <w:rPr>
          <w:rFonts w:hint="eastAsia" w:ascii="仿宋_GB2312" w:hAnsi="黑体" w:eastAsia="仿宋_GB2312" w:cs="Arial"/>
          <w:kern w:val="0"/>
          <w:sz w:val="32"/>
          <w:szCs w:val="32"/>
          <w:lang w:val="en-US" w:eastAsia="zh-CN"/>
        </w:rPr>
        <w:t>、</w:t>
      </w:r>
      <w:r>
        <w:rPr>
          <w:rFonts w:hint="default" w:ascii="仿宋_GB2312" w:hAnsi="黑体" w:eastAsia="仿宋_GB2312" w:cs="Arial"/>
          <w:kern w:val="0"/>
          <w:sz w:val="32"/>
          <w:szCs w:val="32"/>
          <w:lang w:val="en-US" w:eastAsia="zh-CN"/>
        </w:rPr>
        <w:t>浙江省社科联主办的“聚焦生态文明实践”主题征文活动中</w:t>
      </w:r>
      <w:r>
        <w:rPr>
          <w:rFonts w:hint="eastAsia" w:ascii="仿宋_GB2312" w:hAnsi="黑体" w:eastAsia="仿宋_GB2312" w:cs="Arial"/>
          <w:kern w:val="0"/>
          <w:sz w:val="32"/>
          <w:szCs w:val="32"/>
          <w:lang w:val="en-US" w:eastAsia="zh-CN"/>
        </w:rPr>
        <w:t>分别</w:t>
      </w:r>
      <w:r>
        <w:rPr>
          <w:rFonts w:hint="default" w:ascii="仿宋_GB2312" w:hAnsi="黑体" w:eastAsia="仿宋_GB2312" w:cs="Arial"/>
          <w:kern w:val="0"/>
          <w:sz w:val="32"/>
          <w:szCs w:val="32"/>
          <w:lang w:val="en-US" w:eastAsia="zh-CN"/>
        </w:rPr>
        <w:t>荣获三等奖</w:t>
      </w:r>
      <w:r>
        <w:rPr>
          <w:rFonts w:hint="eastAsia" w:ascii="仿宋_GB2312" w:hAnsi="黑体" w:eastAsia="仿宋_GB2312" w:cs="Arial"/>
          <w:kern w:val="0"/>
          <w:sz w:val="32"/>
          <w:szCs w:val="32"/>
          <w:lang w:val="en-US" w:eastAsia="zh-CN"/>
        </w:rPr>
        <w:t>与优秀奖。理论文章在《Forests》《Genes》等刊发；编发《丽水社科要报（智库专报）》14余期，完成2个省哲社2024年度浙江省新型智库课题，预立项省哲社项目1项。省高等教育教学成果奖1项，市高等教育教学成果1项。受邀参加民革中央妇委会2025年重点课题调。组织发布《丽水市生态产品目录清单》。专家（院士）工作站于10月顺利通过丽水市科学技术协会的年度考核。</w:t>
      </w:r>
    </w:p>
    <w:p>
      <w:pPr>
        <w:pStyle w:val="5"/>
        <w:widowControl/>
        <w:numPr>
          <w:ilvl w:val="0"/>
          <w:numId w:val="0"/>
        </w:numPr>
        <w:spacing w:beforeAutospacing="0" w:after="93" w:afterLines="30" w:afterAutospacing="0" w:line="560" w:lineRule="exact"/>
        <w:ind w:firstLine="643" w:firstLineChars="200"/>
        <w:jc w:val="both"/>
        <w:rPr>
          <w:rFonts w:hint="eastAsia" w:ascii="仿宋_GB2312" w:hAnsi="黑体" w:eastAsia="仿宋_GB2312" w:cs="Arial"/>
          <w:kern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Arial"/>
          <w:b/>
          <w:bCs/>
          <w:kern w:val="0"/>
          <w:sz w:val="32"/>
          <w:szCs w:val="32"/>
          <w:lang w:val="en-US" w:eastAsia="zh-CN"/>
        </w:rPr>
        <w:t>克勤小物，清正廉洁做有为有敬的高校干部。</w:t>
      </w:r>
      <w:r>
        <w:rPr>
          <w:rFonts w:hint="eastAsia" w:ascii="仿宋_GB2312" w:hAnsi="黑体" w:eastAsia="仿宋_GB2312" w:cs="Arial"/>
          <w:kern w:val="0"/>
          <w:sz w:val="32"/>
          <w:szCs w:val="32"/>
          <w:lang w:val="en-US" w:eastAsia="zh-CN"/>
        </w:rPr>
        <w:t>注意校纪委委员身份，接受专项培训多次。并积极开展“两山共富”清廉苑建设。没有从事与创收争取项目等经济活动，注意约束自己名利方面的选择，争做廉洁奉公的好干部。同事关系和谐、师生关系融洽。近几年扶持年轻教师专业发展，申报国家重大项目和课程建设，形成“两山”教育与“两山”发展2个团队，论文发表大多排名在后。妻子潘瑶婷一直在丽水职业技术学院担任副教授，儿子刘奕羿英国巴斯大学博士研究生进入论文攻关阶段。新增硕士研究生刘张豪、刘罗劼。当前指导硕士研究生6人。没有新增房产、车辆等需要报告的事项。</w:t>
      </w:r>
    </w:p>
    <w:p>
      <w:pPr>
        <w:pStyle w:val="5"/>
        <w:widowControl/>
        <w:numPr>
          <w:ilvl w:val="0"/>
          <w:numId w:val="0"/>
        </w:numPr>
        <w:spacing w:beforeAutospacing="0" w:after="93" w:afterLines="30" w:afterAutospacing="0" w:line="560" w:lineRule="exact"/>
        <w:ind w:firstLine="640" w:firstLineChars="200"/>
        <w:jc w:val="both"/>
        <w:rPr>
          <w:rFonts w:hint="eastAsia" w:ascii="仿宋_GB2312" w:hAnsi="黑体" w:eastAsia="仿宋_GB2312" w:cs="Arial"/>
          <w:kern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Arial"/>
          <w:kern w:val="0"/>
          <w:sz w:val="32"/>
          <w:szCs w:val="32"/>
          <w:lang w:val="en-US" w:eastAsia="zh-CN"/>
        </w:rPr>
        <w:t>主要不足与努力方向：一是重视政治理论学习，但是系统性不够。二是重视支部建设，履行好“一岗双责”，抓好直属支部建设的各项任务，但是与抓业务工作相比，还是有畸轻畸重想象。三是更重视高层次科研项目和奖项的争取，但是学校和省、市委（政府）有明确要求的任务积极主动做，但有组织的团队科研，争取出“硬核成果”不够。</w:t>
      </w:r>
    </w:p>
    <w:p>
      <w:pPr>
        <w:pStyle w:val="5"/>
        <w:widowControl/>
        <w:numPr>
          <w:ilvl w:val="0"/>
          <w:numId w:val="0"/>
        </w:numPr>
        <w:spacing w:beforeAutospacing="0" w:after="93" w:afterLines="30" w:afterAutospacing="0" w:line="560" w:lineRule="exact"/>
        <w:ind w:firstLine="643" w:firstLineChars="200"/>
        <w:jc w:val="both"/>
        <w:rPr>
          <w:rFonts w:hint="eastAsia" w:ascii="仿宋_GB2312" w:hAnsi="黑体" w:eastAsia="仿宋_GB2312" w:cs="Arial"/>
          <w:kern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Arial"/>
          <w:b/>
          <w:bCs/>
          <w:kern w:val="0"/>
          <w:sz w:val="32"/>
          <w:szCs w:val="32"/>
          <w:lang w:val="en-US" w:eastAsia="zh-CN"/>
        </w:rPr>
        <w:t>“向组织说说心里话”</w:t>
      </w:r>
      <w:r>
        <w:rPr>
          <w:rFonts w:hint="eastAsia" w:ascii="仿宋_GB2312" w:hAnsi="黑体" w:eastAsia="仿宋_GB2312" w:cs="Arial"/>
          <w:kern w:val="0"/>
          <w:sz w:val="32"/>
          <w:szCs w:val="32"/>
          <w:lang w:val="en-US" w:eastAsia="zh-CN"/>
        </w:rPr>
        <w:t>，</w:t>
      </w:r>
      <w:r>
        <w:rPr>
          <w:rFonts w:hint="eastAsia" w:ascii="仿宋_GB2312" w:hAnsi="黑体" w:eastAsia="仿宋_GB2312" w:cs="Arial"/>
          <w:color w:val="auto"/>
          <w:kern w:val="0"/>
          <w:sz w:val="32"/>
          <w:szCs w:val="32"/>
        </w:rPr>
        <w:t>2026 年</w:t>
      </w:r>
      <w:r>
        <w:rPr>
          <w:rFonts w:hint="eastAsia" w:ascii="仿宋_GB2312" w:hAnsi="黑体" w:eastAsia="仿宋_GB2312" w:cs="Arial"/>
          <w:color w:val="auto"/>
          <w:kern w:val="0"/>
          <w:sz w:val="32"/>
          <w:szCs w:val="32"/>
          <w:lang w:eastAsia="zh-CN"/>
        </w:rPr>
        <w:t>是学校“十五五”规划的开局一年，科研处</w:t>
      </w:r>
      <w:r>
        <w:rPr>
          <w:rFonts w:hint="eastAsia" w:ascii="仿宋_GB2312" w:hAnsi="黑体" w:eastAsia="仿宋_GB2312" w:cs="Arial"/>
          <w:color w:val="auto"/>
          <w:kern w:val="0"/>
          <w:sz w:val="32"/>
          <w:szCs w:val="32"/>
        </w:rPr>
        <w:t>将</w:t>
      </w:r>
      <w:r>
        <w:rPr>
          <w:rFonts w:hint="eastAsia" w:ascii="仿宋_GB2312" w:hAnsi="黑体" w:eastAsia="仿宋_GB2312" w:cs="Arial"/>
          <w:color w:val="auto"/>
          <w:kern w:val="0"/>
          <w:sz w:val="32"/>
          <w:szCs w:val="32"/>
          <w:lang w:eastAsia="zh-CN"/>
        </w:rPr>
        <w:t>以“创大申博”为目标，把提升高层次科研奖项作为主要攻坚任务</w:t>
      </w:r>
      <w:r>
        <w:rPr>
          <w:rFonts w:hint="eastAsia" w:ascii="仿宋_GB2312" w:hAnsi="黑体" w:eastAsia="仿宋_GB2312" w:cs="Arial"/>
          <w:color w:val="auto"/>
          <w:kern w:val="0"/>
          <w:sz w:val="32"/>
          <w:szCs w:val="32"/>
        </w:rPr>
        <w:t>，聚焦国家级</w:t>
      </w:r>
      <w:r>
        <w:rPr>
          <w:rFonts w:hint="eastAsia" w:ascii="仿宋_GB2312" w:hAnsi="黑体" w:eastAsia="仿宋_GB2312" w:cs="Arial"/>
          <w:color w:val="auto"/>
          <w:kern w:val="0"/>
          <w:sz w:val="32"/>
          <w:szCs w:val="32"/>
          <w:lang w:val="en-US" w:eastAsia="zh-CN"/>
        </w:rPr>
        <w:t>科研奖项的指标</w:t>
      </w:r>
      <w:r>
        <w:rPr>
          <w:rFonts w:hint="eastAsia" w:ascii="仿宋_GB2312" w:hAnsi="黑体" w:eastAsia="仿宋_GB2312" w:cs="Arial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 w:cs="Arial"/>
          <w:color w:val="auto"/>
          <w:kern w:val="0"/>
          <w:sz w:val="32"/>
          <w:szCs w:val="32"/>
        </w:rPr>
        <w:t>省部级科研奖项</w:t>
      </w:r>
      <w:r>
        <w:rPr>
          <w:rFonts w:hint="eastAsia" w:ascii="仿宋_GB2312" w:hAnsi="黑体" w:eastAsia="仿宋_GB2312" w:cs="Arial"/>
          <w:color w:val="auto"/>
          <w:kern w:val="0"/>
          <w:sz w:val="32"/>
          <w:szCs w:val="32"/>
          <w:lang w:val="en-US" w:eastAsia="zh-CN"/>
        </w:rPr>
        <w:t>增量，</w:t>
      </w:r>
      <w:r>
        <w:rPr>
          <w:rFonts w:hint="eastAsia" w:ascii="仿宋_GB2312" w:hAnsi="黑体" w:eastAsia="仿宋_GB2312" w:cs="Arial"/>
          <w:color w:val="auto"/>
          <w:kern w:val="0"/>
          <w:sz w:val="32"/>
          <w:szCs w:val="32"/>
          <w:lang w:eastAsia="zh-CN"/>
        </w:rPr>
        <w:t>同时推进</w:t>
      </w:r>
      <w:r>
        <w:rPr>
          <w:rFonts w:hint="eastAsia" w:ascii="仿宋_GB2312" w:hAnsi="黑体" w:eastAsia="仿宋_GB2312" w:cs="Arial"/>
          <w:color w:val="auto"/>
          <w:kern w:val="0"/>
          <w:sz w:val="32"/>
          <w:szCs w:val="32"/>
        </w:rPr>
        <w:t>省级科研平台建设、高层次科研项目，以系统化布局、精准化施策、协同化推进为抓手，全面提升学校科研综合实力，为学校跨越发展筑牢科研根基</w:t>
      </w:r>
      <w:r>
        <w:rPr>
          <w:rFonts w:hint="eastAsia" w:ascii="仿宋_GB2312" w:hAnsi="黑体" w:eastAsia="仿宋_GB2312" w:cs="Arial"/>
          <w:color w:val="auto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黑体" w:eastAsia="仿宋_GB2312" w:cs="Arial"/>
          <w:color w:val="auto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黑体" w:eastAsia="仿宋_GB2312" w:cs="Arial"/>
          <w:kern w:val="0"/>
          <w:sz w:val="32"/>
          <w:szCs w:val="32"/>
          <w:lang w:val="en-US" w:eastAsia="zh-CN"/>
        </w:rPr>
        <w:t xml:space="preserve">26年也是两山学院以服务国家战略为遵循，以“提质、扩容、转化、出海”为主线，推动两山学院向国家高端智库培育单位跨越。提能升级的核心目标为学术、政策、社会、国际影响力及平台发展四大维度，秉持核心使命，为中国式现代化生态文明建设贡献“丽水智慧”与“两山力量”。  </w:t>
      </w:r>
    </w:p>
    <w:p>
      <w:pPr>
        <w:pStyle w:val="5"/>
        <w:widowControl/>
        <w:numPr>
          <w:ilvl w:val="0"/>
          <w:numId w:val="0"/>
        </w:numPr>
        <w:spacing w:beforeAutospacing="0" w:after="93" w:afterLines="30" w:afterAutospacing="0" w:line="560" w:lineRule="exact"/>
        <w:ind w:firstLine="643" w:firstLineChars="200"/>
        <w:jc w:val="both"/>
        <w:rPr>
          <w:rFonts w:hint="eastAsia" w:ascii="仿宋_GB2312" w:hAnsi="黑体" w:eastAsia="仿宋_GB2312" w:cs="Arial"/>
          <w:kern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Arial"/>
          <w:b/>
          <w:bCs/>
          <w:kern w:val="0"/>
          <w:sz w:val="32"/>
          <w:szCs w:val="32"/>
          <w:lang w:val="en-US" w:eastAsia="zh-CN"/>
        </w:rPr>
        <w:t>2025年最满意的三项工作：</w:t>
      </w:r>
    </w:p>
    <w:p>
      <w:pPr>
        <w:spacing w:line="540" w:lineRule="exact"/>
        <w:ind w:firstLine="643" w:firstLineChars="200"/>
        <w:jc w:val="both"/>
        <w:rPr>
          <w:rFonts w:hint="eastAsia" w:ascii="仿宋_GB2312" w:hAnsi="黑体" w:eastAsia="仿宋_GB2312" w:cs="Arial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黑体" w:eastAsia="仿宋_GB2312" w:cs="Arial"/>
          <w:b/>
          <w:bCs/>
          <w:kern w:val="0"/>
          <w:sz w:val="32"/>
          <w:szCs w:val="32"/>
          <w:lang w:val="en-US" w:eastAsia="zh-CN" w:bidi="ar"/>
        </w:rPr>
        <w:t>在高水平科研项目、科研平台与成果产出上实现新突破</w:t>
      </w:r>
      <w:r>
        <w:rPr>
          <w:rFonts w:hint="eastAsia" w:ascii="仿宋_GB2312" w:hAnsi="黑体" w:eastAsia="仿宋_GB2312" w:cs="Arial"/>
          <w:kern w:val="0"/>
          <w:sz w:val="32"/>
          <w:szCs w:val="32"/>
          <w:lang w:val="en-US" w:eastAsia="zh-CN" w:bidi="ar"/>
        </w:rPr>
        <w:t>。学校科研工作深入实施“有组织科研”战略，通过科研素养提升班、高层次科研项目培育等举措，实现了创新能级的显著提升。国家级科研项目数实现“双高”：新增国家级科研项目15项，新增国家级科研项目数创新高。其中新增国家社科基金立项10项，创学校历年最好成绩，展现了承担重大任务的能力。省部级科研成果奖稳步增长：获省部级及以上科研奖项15项，其中获省哲学社会科学优秀成果奖二等奖2项，这是学校时隔四年再次在该权威奖项中斩获二等奖。此外，学校科研平台建设取得突破性进展，视觉智能精益制造协同创新中心成功获批“第八批浙江省协同创新中心”，全省航空金属管件弯曲成形技术与装备重点实验室成功获批“全省重点实验室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黑体" w:eastAsia="仿宋_GB2312" w:cs="Arial"/>
          <w:color w:val="auto"/>
          <w:kern w:val="0"/>
          <w:sz w:val="32"/>
          <w:szCs w:val="32"/>
        </w:rPr>
      </w:pPr>
      <w:r>
        <w:rPr>
          <w:rFonts w:hint="eastAsia" w:ascii="仿宋_GB2312" w:hAnsi="黑体" w:eastAsia="仿宋_GB2312" w:cs="Arial"/>
          <w:b/>
          <w:bCs/>
          <w:color w:val="auto"/>
          <w:kern w:val="0"/>
          <w:sz w:val="32"/>
          <w:szCs w:val="32"/>
        </w:rPr>
        <w:t>聚焦顶层设计实现历史突破：我校</w:t>
      </w:r>
      <w:r>
        <w:rPr>
          <w:rFonts w:hint="eastAsia" w:ascii="仿宋_GB2312" w:hAnsi="黑体" w:eastAsia="仿宋_GB2312" w:cs="Arial"/>
          <w:b/>
          <w:bCs/>
          <w:color w:val="auto"/>
          <w:kern w:val="0"/>
          <w:sz w:val="32"/>
          <w:szCs w:val="32"/>
          <w:lang w:val="en-US" w:eastAsia="zh-CN"/>
        </w:rPr>
        <w:t>科研成果奖励</w:t>
      </w:r>
      <w:r>
        <w:rPr>
          <w:rFonts w:hint="eastAsia" w:ascii="仿宋_GB2312" w:hAnsi="黑体" w:eastAsia="仿宋_GB2312" w:cs="Arial"/>
          <w:b/>
          <w:bCs/>
          <w:color w:val="auto"/>
          <w:kern w:val="0"/>
          <w:sz w:val="32"/>
          <w:szCs w:val="32"/>
        </w:rPr>
        <w:t>荣获里程碑式进展</w:t>
      </w:r>
      <w:r>
        <w:rPr>
          <w:rFonts w:hint="eastAsia" w:ascii="仿宋_GB2312" w:hAnsi="黑体" w:eastAsia="仿宋_GB2312" w:cs="Arial"/>
          <w:b/>
          <w:bCs/>
          <w:color w:val="auto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黑体" w:eastAsia="仿宋_GB2312" w:cs="Arial"/>
          <w:color w:val="auto"/>
          <w:kern w:val="0"/>
          <w:sz w:val="32"/>
          <w:szCs w:val="32"/>
        </w:rPr>
        <w:t>立足学校“创大申博”核心战略，科研处强化顶层设计与系统谋划，将高层次科研成果的培育与产出作为工作重心，持续攻坚。本年度，该项工作实现关键性历史突破，在象征科研综合实力的国家级</w:t>
      </w:r>
      <w:r>
        <w:rPr>
          <w:rFonts w:hint="eastAsia" w:ascii="仿宋_GB2312" w:hAnsi="黑体" w:eastAsia="仿宋_GB2312" w:cs="Arial"/>
          <w:color w:val="auto"/>
          <w:kern w:val="0"/>
          <w:sz w:val="32"/>
          <w:szCs w:val="32"/>
          <w:lang w:val="en-US" w:eastAsia="zh-CN"/>
        </w:rPr>
        <w:t>科技</w:t>
      </w:r>
      <w:r>
        <w:rPr>
          <w:rFonts w:hint="eastAsia" w:ascii="仿宋_GB2312" w:hAnsi="黑体" w:eastAsia="仿宋_GB2312" w:cs="Arial"/>
          <w:color w:val="auto"/>
          <w:kern w:val="0"/>
          <w:sz w:val="32"/>
          <w:szCs w:val="32"/>
        </w:rPr>
        <w:t>奖项上首开先河：由我校教师参与完成的“复杂场景视觉模型关键技术及其产业化应用”项目，成功通过2025年度国家科学技术进步奖二等奖的初评。此举标志着我校在国家级科技奖励领域实现了“从零到一”的根本性跨越</w:t>
      </w:r>
      <w:r>
        <w:rPr>
          <w:rFonts w:hint="eastAsia" w:ascii="仿宋_GB2312" w:hAnsi="黑体" w:eastAsia="仿宋_GB2312" w:cs="Arial"/>
          <w:color w:val="auto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黑体" w:eastAsia="仿宋_GB2312" w:cs="Arial"/>
          <w:color w:val="auto"/>
          <w:kern w:val="0"/>
          <w:sz w:val="32"/>
          <w:szCs w:val="32"/>
        </w:rPr>
        <w:t>与此同时，我校在省部级成果评选中也呈现出多点开花的良好态势：1项成果被推荐参评教育部科学研究优秀成果奖（人文社会科学），2项成果入围该奖项“教育科学研究”专区评比；此外，还荣获中国产学研合作促进会科技创新奖一等奖1项，并在省哲学社会科学优秀成果奖评选中斩获二等奖2项。这一系列成果，系统性地展现了我校科研创新能力的整体提升与巨大潜力。</w:t>
      </w:r>
    </w:p>
    <w:p>
      <w:pPr>
        <w:pStyle w:val="5"/>
        <w:widowControl/>
        <w:numPr>
          <w:ilvl w:val="0"/>
          <w:numId w:val="0"/>
        </w:numPr>
        <w:spacing w:beforeAutospacing="0" w:after="93" w:afterLines="30" w:afterAutospacing="0" w:line="560" w:lineRule="exact"/>
        <w:ind w:firstLine="643" w:firstLineChars="200"/>
        <w:jc w:val="both"/>
        <w:rPr>
          <w:rFonts w:hint="default" w:ascii="仿宋_GB2312" w:hAnsi="黑体" w:eastAsia="仿宋_GB2312" w:cs="Arial"/>
          <w:kern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Arial"/>
          <w:b/>
          <w:bCs/>
          <w:kern w:val="0"/>
          <w:sz w:val="32"/>
          <w:szCs w:val="32"/>
          <w:lang w:val="en-US" w:eastAsia="zh-CN"/>
        </w:rPr>
        <w:t>两山学院提能升级，“硬核”成果进步显著。完成两山学院整体搬迁，优化空间效能，夯实发展支撑，实现物理空间与精神面貌同步升级，为学院高质量发展筑牢硬件与精神根基。</w:t>
      </w:r>
      <w:r>
        <w:rPr>
          <w:rFonts w:hint="eastAsia" w:ascii="仿宋_GB2312" w:hAnsi="黑体" w:eastAsia="仿宋_GB2312" w:cs="Arial"/>
          <w:kern w:val="0"/>
          <w:sz w:val="32"/>
          <w:szCs w:val="32"/>
          <w:lang w:val="en-US" w:eastAsia="zh-CN"/>
        </w:rPr>
        <w:t>欧阳志云专家（院士）工作站通过年度考核；</w:t>
      </w:r>
      <w:r>
        <w:rPr>
          <w:rFonts w:hint="default" w:ascii="仿宋_GB2312" w:hAnsi="黑体" w:eastAsia="仿宋_GB2312" w:cs="Arial"/>
          <w:kern w:val="0"/>
          <w:sz w:val="32"/>
          <w:szCs w:val="32"/>
          <w:lang w:val="en-US" w:eastAsia="zh-CN"/>
        </w:rPr>
        <w:t>两山研究院</w:t>
      </w:r>
      <w:r>
        <w:rPr>
          <w:rFonts w:hint="eastAsia" w:ascii="仿宋_GB2312" w:hAnsi="黑体" w:eastAsia="仿宋_GB2312" w:cs="Arial"/>
          <w:kern w:val="0"/>
          <w:sz w:val="32"/>
          <w:szCs w:val="32"/>
          <w:lang w:val="en-US" w:eastAsia="zh-CN"/>
        </w:rPr>
        <w:t>评估合格；共建“两山”转化科技小院，标志着全国首个系统化推进“两山”转化的实体化平台正式落地。全国人大与民革中央再次委托共建项目，国家标准、行业标准多项公布，国家社科基金后期资助项目、省智库项目新突破，省教学成果奖再次获二等奖，首次获向国家民委报送信息先进个人，获市委市政府“大搬快聚”工程先进。受邀赴中央党校为哲学部“两山”转化备课组授课。</w:t>
      </w:r>
    </w:p>
    <w:p>
      <w:pPr>
        <w:pStyle w:val="5"/>
        <w:widowControl/>
        <w:numPr>
          <w:ilvl w:val="0"/>
          <w:numId w:val="0"/>
        </w:numPr>
        <w:spacing w:beforeAutospacing="0" w:after="93" w:afterLines="30" w:afterAutospacing="0" w:line="560" w:lineRule="exact"/>
        <w:ind w:firstLine="1280" w:firstLineChars="400"/>
        <w:jc w:val="both"/>
        <w:rPr>
          <w:rFonts w:hint="eastAsia" w:ascii="仿宋_GB2312" w:hAnsi="黑体" w:eastAsia="仿宋_GB2312" w:cs="Arial"/>
          <w:kern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Arial"/>
          <w:kern w:val="0"/>
          <w:sz w:val="32"/>
          <w:szCs w:val="32"/>
          <w:lang w:val="en-US" w:eastAsia="zh-CN"/>
        </w:rPr>
        <w:t xml:space="preserve">科研处处长、两山学院执行院长、党支部书记   </w:t>
      </w:r>
    </w:p>
    <w:p>
      <w:pPr>
        <w:pStyle w:val="5"/>
        <w:widowControl/>
        <w:numPr>
          <w:ilvl w:val="0"/>
          <w:numId w:val="0"/>
        </w:numPr>
        <w:spacing w:beforeAutospacing="0" w:after="93" w:afterLines="30" w:afterAutospacing="0" w:line="560" w:lineRule="exact"/>
        <w:ind w:firstLine="4480" w:firstLineChars="1400"/>
        <w:jc w:val="both"/>
        <w:rPr>
          <w:rFonts w:hint="default" w:ascii="仿宋_GB2312" w:hAnsi="黑体" w:eastAsia="仿宋_GB2312" w:cs="Arial"/>
          <w:kern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Arial"/>
          <w:kern w:val="0"/>
          <w:sz w:val="32"/>
          <w:szCs w:val="32"/>
          <w:lang w:val="en-US" w:eastAsia="zh-CN"/>
        </w:rPr>
        <w:t>2025-12-26</w:t>
      </w:r>
    </w:p>
    <w:p>
      <w:pPr>
        <w:pStyle w:val="5"/>
        <w:widowControl/>
        <w:numPr>
          <w:ilvl w:val="0"/>
          <w:numId w:val="0"/>
        </w:numPr>
        <w:spacing w:beforeAutospacing="0" w:after="93" w:afterLines="30" w:afterAutospacing="0" w:line="560" w:lineRule="exact"/>
        <w:ind w:firstLine="640" w:firstLineChars="200"/>
        <w:jc w:val="both"/>
        <w:rPr>
          <w:rFonts w:hint="eastAsia" w:ascii="仿宋_GB2312" w:hAnsi="黑体" w:eastAsia="仿宋_GB2312" w:cs="Arial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yZTA4ZTlkZmU2OWQ0NzQ4NjQzNDFmMDRhOTZiNjMifQ=="/>
  </w:docVars>
  <w:rsids>
    <w:rsidRoot w:val="00F553C5"/>
    <w:rsid w:val="00035AF2"/>
    <w:rsid w:val="000B37A7"/>
    <w:rsid w:val="000F0735"/>
    <w:rsid w:val="001245A6"/>
    <w:rsid w:val="00216791"/>
    <w:rsid w:val="002A3A94"/>
    <w:rsid w:val="002C0AB8"/>
    <w:rsid w:val="002C62C1"/>
    <w:rsid w:val="00387A44"/>
    <w:rsid w:val="003F7443"/>
    <w:rsid w:val="004412D7"/>
    <w:rsid w:val="00454CA8"/>
    <w:rsid w:val="004976DC"/>
    <w:rsid w:val="0056035F"/>
    <w:rsid w:val="0062398C"/>
    <w:rsid w:val="006375BE"/>
    <w:rsid w:val="00684A85"/>
    <w:rsid w:val="006D0CB2"/>
    <w:rsid w:val="006F3CDC"/>
    <w:rsid w:val="007511FF"/>
    <w:rsid w:val="007F3C90"/>
    <w:rsid w:val="008624A0"/>
    <w:rsid w:val="008C65AB"/>
    <w:rsid w:val="009B334E"/>
    <w:rsid w:val="009E0E4D"/>
    <w:rsid w:val="00A057F2"/>
    <w:rsid w:val="00A20328"/>
    <w:rsid w:val="00A51A7E"/>
    <w:rsid w:val="00A7550B"/>
    <w:rsid w:val="00A92532"/>
    <w:rsid w:val="00A95C56"/>
    <w:rsid w:val="00B372BF"/>
    <w:rsid w:val="00B71E51"/>
    <w:rsid w:val="00B8024C"/>
    <w:rsid w:val="00B857C0"/>
    <w:rsid w:val="00BB0BBD"/>
    <w:rsid w:val="00BB16D3"/>
    <w:rsid w:val="00BE59A7"/>
    <w:rsid w:val="00C0786C"/>
    <w:rsid w:val="00C141D6"/>
    <w:rsid w:val="00C26C1A"/>
    <w:rsid w:val="00DE3A05"/>
    <w:rsid w:val="00E25B19"/>
    <w:rsid w:val="00E74296"/>
    <w:rsid w:val="00F553C5"/>
    <w:rsid w:val="00FF4FA0"/>
    <w:rsid w:val="03867648"/>
    <w:rsid w:val="03C66C1E"/>
    <w:rsid w:val="0784596B"/>
    <w:rsid w:val="0788023D"/>
    <w:rsid w:val="08775B2E"/>
    <w:rsid w:val="0A260464"/>
    <w:rsid w:val="0A564CA6"/>
    <w:rsid w:val="0C3B18C3"/>
    <w:rsid w:val="0CDA7707"/>
    <w:rsid w:val="0DA0289A"/>
    <w:rsid w:val="0DCC74C7"/>
    <w:rsid w:val="0DD11C40"/>
    <w:rsid w:val="0E0A37F7"/>
    <w:rsid w:val="0FFF09DD"/>
    <w:rsid w:val="11C512D4"/>
    <w:rsid w:val="1402196D"/>
    <w:rsid w:val="14636ABE"/>
    <w:rsid w:val="14FC7416"/>
    <w:rsid w:val="15747FC3"/>
    <w:rsid w:val="15E5260F"/>
    <w:rsid w:val="166C1F58"/>
    <w:rsid w:val="17622036"/>
    <w:rsid w:val="184415B6"/>
    <w:rsid w:val="190519F0"/>
    <w:rsid w:val="1AF401B5"/>
    <w:rsid w:val="1B1E59DC"/>
    <w:rsid w:val="1B282917"/>
    <w:rsid w:val="1B794098"/>
    <w:rsid w:val="1C820AA6"/>
    <w:rsid w:val="1D1324D3"/>
    <w:rsid w:val="1E6F47C1"/>
    <w:rsid w:val="1EE84291"/>
    <w:rsid w:val="1F722BFC"/>
    <w:rsid w:val="1F7E7B94"/>
    <w:rsid w:val="1FF455C5"/>
    <w:rsid w:val="2262184E"/>
    <w:rsid w:val="226454DE"/>
    <w:rsid w:val="22AD6F7F"/>
    <w:rsid w:val="22C8625D"/>
    <w:rsid w:val="23142AFE"/>
    <w:rsid w:val="23C15FDB"/>
    <w:rsid w:val="2423778D"/>
    <w:rsid w:val="26DC7E5A"/>
    <w:rsid w:val="28095257"/>
    <w:rsid w:val="28FF2263"/>
    <w:rsid w:val="2AB56F90"/>
    <w:rsid w:val="2CA400EB"/>
    <w:rsid w:val="2CA51E2C"/>
    <w:rsid w:val="2DD931EA"/>
    <w:rsid w:val="2EB953AB"/>
    <w:rsid w:val="2EE55EBB"/>
    <w:rsid w:val="2F6614FD"/>
    <w:rsid w:val="300D4369"/>
    <w:rsid w:val="32E4209D"/>
    <w:rsid w:val="335F0F00"/>
    <w:rsid w:val="357A069E"/>
    <w:rsid w:val="358055DF"/>
    <w:rsid w:val="35A94FDF"/>
    <w:rsid w:val="37657A9C"/>
    <w:rsid w:val="385D65EB"/>
    <w:rsid w:val="397806AD"/>
    <w:rsid w:val="39B60063"/>
    <w:rsid w:val="3A107A33"/>
    <w:rsid w:val="3AE2060C"/>
    <w:rsid w:val="3B4E775D"/>
    <w:rsid w:val="3CDB7440"/>
    <w:rsid w:val="3D4F0406"/>
    <w:rsid w:val="3D756265"/>
    <w:rsid w:val="3D90524B"/>
    <w:rsid w:val="3DCB23D0"/>
    <w:rsid w:val="3EAD5D87"/>
    <w:rsid w:val="3F1C7C2D"/>
    <w:rsid w:val="3FCD62EC"/>
    <w:rsid w:val="4025518E"/>
    <w:rsid w:val="4062444E"/>
    <w:rsid w:val="41174A8C"/>
    <w:rsid w:val="411D6DAF"/>
    <w:rsid w:val="412E0324"/>
    <w:rsid w:val="420B0C3D"/>
    <w:rsid w:val="42E54FE0"/>
    <w:rsid w:val="434850C2"/>
    <w:rsid w:val="446463D9"/>
    <w:rsid w:val="44D7492B"/>
    <w:rsid w:val="45B66F68"/>
    <w:rsid w:val="46856363"/>
    <w:rsid w:val="47332E44"/>
    <w:rsid w:val="476168F9"/>
    <w:rsid w:val="484A12A8"/>
    <w:rsid w:val="4881021E"/>
    <w:rsid w:val="48C35FED"/>
    <w:rsid w:val="4A396286"/>
    <w:rsid w:val="4B3E3ECC"/>
    <w:rsid w:val="4DB35909"/>
    <w:rsid w:val="4E2312D4"/>
    <w:rsid w:val="50361045"/>
    <w:rsid w:val="5045337A"/>
    <w:rsid w:val="51B95B46"/>
    <w:rsid w:val="51D92409"/>
    <w:rsid w:val="52136D0F"/>
    <w:rsid w:val="53BC48C3"/>
    <w:rsid w:val="547D4A47"/>
    <w:rsid w:val="55DE3872"/>
    <w:rsid w:val="563E497B"/>
    <w:rsid w:val="59EC7DF1"/>
    <w:rsid w:val="5A703563"/>
    <w:rsid w:val="5ADB7BB3"/>
    <w:rsid w:val="5B3F20B5"/>
    <w:rsid w:val="5C5B1685"/>
    <w:rsid w:val="5CAE08AE"/>
    <w:rsid w:val="5CE01AB8"/>
    <w:rsid w:val="5DD424F0"/>
    <w:rsid w:val="5EF50295"/>
    <w:rsid w:val="5FA626E0"/>
    <w:rsid w:val="5FBD770C"/>
    <w:rsid w:val="6171468D"/>
    <w:rsid w:val="61FE3B48"/>
    <w:rsid w:val="647D20E7"/>
    <w:rsid w:val="65C06300"/>
    <w:rsid w:val="66074ECE"/>
    <w:rsid w:val="663F1309"/>
    <w:rsid w:val="669B50CA"/>
    <w:rsid w:val="66E0438B"/>
    <w:rsid w:val="67866B50"/>
    <w:rsid w:val="67916721"/>
    <w:rsid w:val="67E05663"/>
    <w:rsid w:val="69241168"/>
    <w:rsid w:val="69557143"/>
    <w:rsid w:val="69A94F7A"/>
    <w:rsid w:val="6CC82A22"/>
    <w:rsid w:val="6E325E14"/>
    <w:rsid w:val="6E5C3AD6"/>
    <w:rsid w:val="6EEB5C45"/>
    <w:rsid w:val="6FAB1C91"/>
    <w:rsid w:val="700C10DA"/>
    <w:rsid w:val="702B12F1"/>
    <w:rsid w:val="7087138F"/>
    <w:rsid w:val="72927A6C"/>
    <w:rsid w:val="735E47A6"/>
    <w:rsid w:val="73D264B4"/>
    <w:rsid w:val="74934BAD"/>
    <w:rsid w:val="75066559"/>
    <w:rsid w:val="7806195D"/>
    <w:rsid w:val="78732BED"/>
    <w:rsid w:val="789C58E8"/>
    <w:rsid w:val="79673445"/>
    <w:rsid w:val="7A03759C"/>
    <w:rsid w:val="7A7176AF"/>
    <w:rsid w:val="7CD201A5"/>
    <w:rsid w:val="7E5875FD"/>
    <w:rsid w:val="7F6F0659"/>
    <w:rsid w:val="FF72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99"/>
    <w:pPr>
      <w:widowControl w:val="0"/>
      <w:ind w:firstLine="567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Body Text Indent"/>
    <w:basedOn w:val="1"/>
    <w:next w:val="2"/>
    <w:qFormat/>
    <w:uiPriority w:val="0"/>
    <w:pPr>
      <w:ind w:left="-198" w:firstLine="198"/>
    </w:pPr>
    <w:rPr>
      <w:rFonts w:ascii="Times New Roman" w:hAnsi="Times New Roman" w:eastAsia="宋体" w:cs="Times New Roman"/>
      <w:sz w:val="28"/>
      <w:szCs w:val="20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tyleName="" SelectedStyl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9AB357-0CE6-4EFC-950A-FF3AB7AB53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10</Pages>
  <Words>4479</Words>
  <Characters>4604</Characters>
  <Lines>22</Lines>
  <Paragraphs>6</Paragraphs>
  <TotalTime>60</TotalTime>
  <ScaleCrop>false</ScaleCrop>
  <LinksUpToDate>false</LinksUpToDate>
  <CharactersWithSpaces>4630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2011-01-01T00:29:00Z</dcterms:created>
  <dc:creator>Windows 用户</dc:creator>
  <cp:lastModifiedBy>Administrator</cp:lastModifiedBy>
  <dcterms:modified xsi:type="dcterms:W3CDTF">2025-12-31T01:33:25Z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432D243E2B7F41B0A21C27361B1A635C_13</vt:lpwstr>
  </property>
  <property fmtid="{D5CDD505-2E9C-101B-9397-08002B2CF9AE}" pid="4" name="KSOTemplateDocerSaveRecord">
    <vt:lpwstr>eyJoZGlkIjoiNjUwZTY5OGZiYWFhN2M3ZWI2YzVlM2YwMDE4ZmNlODYiLCJ1c2VySWQiOiIxNzM1NTQ5ODY2In0=</vt:lpwstr>
  </property>
</Properties>
</file>